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EA" w:rsidRPr="00D45CEA" w:rsidRDefault="00D45CEA" w:rsidP="00D45CEA">
      <w:pPr>
        <w:shd w:val="clear" w:color="auto" w:fill="EDF0F4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тўловлари</w:t>
      </w:r>
      <w:proofErr w:type="spellEnd"/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</w:t>
      </w:r>
      <w:bookmarkStart w:id="0" w:name="_GoBack"/>
      <w:bookmarkEnd w:id="0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ўтишда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ҳолларда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тўловлари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тўланади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.</w:t>
      </w:r>
    </w:p>
    <w:p w:rsidR="00D45CEA" w:rsidRPr="00D45CEA" w:rsidRDefault="00D45CEA" w:rsidP="00D45CEA">
      <w:pPr>
        <w:shd w:val="clear" w:color="auto" w:fill="33A246"/>
        <w:spacing w:after="0" w:line="240" w:lineRule="auto"/>
        <w:rPr>
          <w:rFonts w:ascii="Arial" w:eastAsia="Times New Roman" w:hAnsi="Arial" w:cs="Arial"/>
          <w:color w:val="FFFFFF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>тўловлари</w:t>
      </w:r>
      <w:proofErr w:type="spellEnd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>турлари</w:t>
      </w:r>
      <w:proofErr w:type="spellEnd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>:</w:t>
      </w:r>
    </w:p>
    <w:p w:rsidR="00D45CEA" w:rsidRPr="00D45CEA" w:rsidRDefault="00D45CEA" w:rsidP="00D45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қўшилган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қиймат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солиғи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акциз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солиғи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йиғимлари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D45CEA" w:rsidRPr="00D45CEA" w:rsidRDefault="00D45CEA" w:rsidP="00D45CE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Қонун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ҳужжатларида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тўловлари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белгиланиши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fldChar w:fldCharType="begin"/>
      </w:r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instrText xml:space="preserve"> HYPERLINK "https://lex.uz/ru/docs/2876354" \l "2883710" \t "_blank" </w:instrText>
      </w:r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fldChar w:fldCharType="separate"/>
      </w:r>
      <w:r w:rsidRPr="00D45CEA">
        <w:rPr>
          <w:rFonts w:ascii="Arial" w:eastAsia="Times New Roman" w:hAnsi="Arial" w:cs="Arial"/>
          <w:color w:val="007BFF"/>
          <w:sz w:val="26"/>
          <w:szCs w:val="26"/>
          <w:u w:val="single"/>
          <w:lang w:eastAsia="ru-RU"/>
        </w:rPr>
        <w:t>мумкин</w:t>
      </w:r>
      <w:proofErr w:type="spellEnd"/>
      <w:r w:rsidRPr="00D45CEA">
        <w:rPr>
          <w:rFonts w:ascii="Arial" w:eastAsia="Times New Roman" w:hAnsi="Arial" w:cs="Arial"/>
          <w:color w:val="007BFF"/>
          <w:sz w:val="26"/>
          <w:szCs w:val="26"/>
          <w:u w:val="single"/>
          <w:lang w:eastAsia="ru-RU"/>
        </w:rPr>
        <w:t>.</w:t>
      </w:r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fldChar w:fldCharType="end"/>
      </w:r>
    </w:p>
    <w:p w:rsidR="00D45CEA" w:rsidRPr="00D45CEA" w:rsidRDefault="00D45CEA" w:rsidP="00D45CE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божларининг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солиқларнинг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ставкалари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Президенти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томонидан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белгиланади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.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тарифи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Ташқи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қтисодий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фаолиятининг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товар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номенклатурасига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мувофиқ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тизимлаштирилган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нисбатан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қўлланиладиган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божлари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ставкаларининг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жамланмасидир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D45CEA" w:rsidRPr="00D45CEA" w:rsidRDefault="00D45CEA" w:rsidP="00D45CEA">
      <w:pPr>
        <w:shd w:val="clear" w:color="auto" w:fill="33A246"/>
        <w:spacing w:after="0" w:line="240" w:lineRule="auto"/>
        <w:rPr>
          <w:rFonts w:ascii="Arial" w:eastAsia="Times New Roman" w:hAnsi="Arial" w:cs="Arial"/>
          <w:color w:val="FFFFFF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>тўловларини</w:t>
      </w:r>
      <w:proofErr w:type="spellEnd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>тўловчи</w:t>
      </w:r>
      <w:proofErr w:type="spellEnd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>қуйидагилардан</w:t>
      </w:r>
      <w:proofErr w:type="spellEnd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>иборат</w:t>
      </w:r>
      <w:proofErr w:type="spellEnd"/>
      <w:r w:rsidRPr="00D45CEA">
        <w:rPr>
          <w:rFonts w:ascii="Arial" w:eastAsia="Times New Roman" w:hAnsi="Arial" w:cs="Arial"/>
          <w:color w:val="FFFFFF"/>
          <w:sz w:val="26"/>
          <w:szCs w:val="26"/>
          <w:lang w:eastAsia="ru-RU"/>
        </w:rPr>
        <w:t>:</w:t>
      </w:r>
    </w:p>
    <w:p w:rsidR="00D45CEA" w:rsidRPr="00D45CEA" w:rsidRDefault="00D45CEA" w:rsidP="00D45C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декларант;</w:t>
      </w:r>
    </w:p>
    <w:p w:rsidR="00D45CEA" w:rsidRPr="00D45CEA" w:rsidRDefault="00D45CEA" w:rsidP="00D45C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брокери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агар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декларант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билан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тузилган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шартномада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бу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назарда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тутилган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бўлса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омборининг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эркин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омборнинг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, 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олинмайдиган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савдо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дўконининг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эгаси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ташувчи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улар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режимларининг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қўлланилиш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талаблари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шартларига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қилинмаганда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халқаро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почта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курьерлик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жўнатмаларининг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почта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алоқаси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операторлари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провайдерлари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башарти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назорати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остида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халқаро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почта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курьерлик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жўнатмалари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йўқолса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назоратисиз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берилса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D45CEA" w:rsidRPr="00D45CEA" w:rsidRDefault="00D45CEA" w:rsidP="00D45CE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қандай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манфаатдор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тўловчи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тўловларини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тў</w:t>
      </w:r>
      <w:proofErr w:type="gram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лашга</w:t>
      </w:r>
      <w:proofErr w:type="spellEnd"/>
      <w:proofErr w:type="gram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ҳақли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.</w:t>
      </w:r>
    </w:p>
    <w:p w:rsidR="00D45CEA" w:rsidRPr="00D45CEA" w:rsidRDefault="00D45CEA" w:rsidP="00D45C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hyperlink r:id="rId6" w:anchor="2883759" w:tgtFrame="_blank" w:history="1">
        <w:r w:rsidRPr="00D45CEA">
          <w:rPr>
            <w:rFonts w:ascii="Arial" w:eastAsia="Times New Roman" w:hAnsi="Arial" w:cs="Arial"/>
            <w:color w:val="007BFF"/>
            <w:sz w:val="26"/>
            <w:szCs w:val="26"/>
            <w:u w:val="single"/>
            <w:lang w:eastAsia="ru-RU"/>
          </w:rPr>
          <w:t xml:space="preserve">Тариф </w:t>
        </w:r>
        <w:proofErr w:type="spellStart"/>
        <w:r w:rsidRPr="00D45CEA">
          <w:rPr>
            <w:rFonts w:ascii="Arial" w:eastAsia="Times New Roman" w:hAnsi="Arial" w:cs="Arial"/>
            <w:color w:val="007BFF"/>
            <w:sz w:val="26"/>
            <w:szCs w:val="26"/>
            <w:u w:val="single"/>
            <w:lang w:eastAsia="ru-RU"/>
          </w:rPr>
          <w:t>имтиёзлари</w:t>
        </w:r>
        <w:proofErr w:type="spellEnd"/>
      </w:hyperlink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Тариф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преференциялари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божларини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тўлашдан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озод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этиш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ставкаларини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камайтириш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муайян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давлатларда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чиқарилган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преференциал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кириш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ушбу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преференциал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чиқишда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квоталар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белгилаш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тарзида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берилади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Мисол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Ташқи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савдо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сиёсати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оширилаётганда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илгари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тўланган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божини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қайтариш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ставкасини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пасайтириш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lastRenderedPageBreak/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божини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тўлашдан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озод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тарзида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тариф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имтиёзлари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берилишига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йўл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қўйилади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озод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тарзидаги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тариф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имтиёзлари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қуйидагиларга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нисбатан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берилади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: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халқаро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йўналишда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юклар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багаж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йўловчилар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ташишни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шунингдек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уларнинг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йўлда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қатнов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вақтида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оралиқ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тўхташ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пунктларида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маромда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ишлаши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зарур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юз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берган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аварияларга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носозликларга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барҳам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бериш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ташқарида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олинган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моддий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-техника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таъминоти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предметларига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анжомларига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ёқилғига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ози</w:t>
      </w:r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қ-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овқатга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мол-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мулкка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миллий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валютасига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чет эл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валютасига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(нумизматика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мақсадида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ишлатиладиган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валюта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бундан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мустасно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шунингдек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қимматли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қоғозларга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денгизда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ов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билан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банд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кемаларини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юридик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жисмоний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ижарага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олинган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(фрахт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қилинган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кемаларнинг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фаолиятини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таъминлаш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ташқарига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моддий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-техника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таъминоти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предметларига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анжомларига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ёқилғига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ози</w:t>
      </w:r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қ-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овқатга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бошқа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мол-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мулкка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шунингдек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уларнинг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ов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маҳсулотига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давлат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мулкига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айлантирилиши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лозим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Вазирлар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Маҳкамаси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белгиланган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тартибда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инсонпарварлик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ёрдами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сифатида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давлатлар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ҳукуматлар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халқаро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ташкилотлар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шунингдек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Вазирлар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Маҳкамасининг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қарорларида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назарда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тутилган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ҳолларда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ташкилотлар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йўналишлари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бўйича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хайрия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ёрдами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мақсадларида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шу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жумладан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техник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ёрдам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кўрсатиш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грантлар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учинчи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давлатлар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мўлжалланган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назорати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остида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транзити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режимида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халқаро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шартномалари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бўйича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тўлиқ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қисман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халқаро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молия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институтларининг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хорижий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ҳукумат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молия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ташкилотларининг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маблағлари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қарзлари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кредитлари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ҳисобидан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лойиҳалар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доирасида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юридик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олинадиган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Бунда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тижорат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банклари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молиялаштириладиган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кредитланадиган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халқаро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молия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lastRenderedPageBreak/>
        <w:t>институтларининг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хорижий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ҳукумат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молия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ташкилотларининг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маблағлари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қарзлари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кредитлари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ҳисобидан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сотиб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олинадиган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бўйича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имтиёзлар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қўлланилмайди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чет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эллик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инвесторлар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чет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эллик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инвесторлар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билан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тузилган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меҳнат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шартномаларига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мувофиқ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турган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чет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давлатлар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фу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қаролари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ташқарида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доимий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равишда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яшайдиган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фуқаролиги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бўлмаган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шахсларнинг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шахсий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эҳтиёжлари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мол-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мулкка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иқтисодиётига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умумий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суммаси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эллик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миллион АҚ</w:t>
      </w:r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доллари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эквивалентидан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ортиқ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тўғридан-тўғри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инвестицияни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чет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эллик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юридик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башарти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кирилаётган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уларнинг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чиқариш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маҳсулоти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бўлса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маҳсулот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тақсимотига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оид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битим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бўйича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бориш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мўлжалланган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лойи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ҳужжатларига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мувофиқ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маҳсулот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тақсимотига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оид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битим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бўйича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ишларни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бажаришда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иштирок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этаётган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чет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эллик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инвестор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бошқа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шунингдек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инвестор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маҳсулот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тақсимотига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оид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битимга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мувофиқ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инвесторга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тегишли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маҳсулотга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ўхшаши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чиқарилмайдиган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тасдиқланган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ўйхат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бўйича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технологик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асбоб-ускуналарга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махсус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ваколатли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давлат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ёзма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шаклдаги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тасдиғи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тақдирда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телекоммуникациялар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операторлари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тезко</w:t>
      </w:r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р-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қидирув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тадбирлари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тизимининг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техник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сертификатлаштириш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бўйича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махсус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орган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олинадиган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тезкор-қидирув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тадбирлари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тизимининг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техник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махсус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ваколатли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давлат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олинадиган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тезко</w:t>
      </w:r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р-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қидирув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тадбирлари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тизимининг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техник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Миллий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олимпия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қўмитаси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Миллий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паралимпия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қўмитаси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олимпия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паралимпия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спорт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турлари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бўйича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федерациялар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ассоциациялар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таклифлари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асосида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белгиланган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тартибда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Ёшлар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сиёсати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спорт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вазирлиги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шакллантириладиган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Вазирлар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Маҳкамаси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тасдиқланадиган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</w:t>
      </w:r>
      <w:proofErr w:type="gram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ўйхат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бўйича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давлат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нодавлат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спорт-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таълим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ташкилотлари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томонидан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эҳтиёжлари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хориждан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импорт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қилинадиган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ишлаб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чиқарилмайдиган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махсус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спорт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кийим-бошлари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экипировкалари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пойабзал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спорт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анжомлари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жиҳозлари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ускуналари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белгиланган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ставкасининг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эллик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фоизига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D45CEA" w:rsidRPr="00D45CEA" w:rsidRDefault="00D45CEA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lastRenderedPageBreak/>
        <w:t>товарларни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қайта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ишлашда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ҳосил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бўладиган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чиқиндиларни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эркин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муомалага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чиқариш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(импорт)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режимига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жойлаштирилганда</w:t>
      </w:r>
      <w:proofErr w:type="spellEnd"/>
      <w:r w:rsidRPr="00D45CE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C67DA1" w:rsidRPr="00D45CEA" w:rsidRDefault="00C67DA1" w:rsidP="00D45CE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sectPr w:rsidR="00C67DA1" w:rsidRPr="00D4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9D"/>
    <w:multiLevelType w:val="multilevel"/>
    <w:tmpl w:val="3C38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B2AE6"/>
    <w:multiLevelType w:val="multilevel"/>
    <w:tmpl w:val="D5EE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86F0C"/>
    <w:multiLevelType w:val="multilevel"/>
    <w:tmpl w:val="F786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EA"/>
    <w:rsid w:val="00C67DA1"/>
    <w:rsid w:val="00D4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5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5C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CEA"/>
    <w:rPr>
      <w:b/>
      <w:bCs/>
    </w:rPr>
  </w:style>
  <w:style w:type="character" w:customStyle="1" w:styleId="expanded-title">
    <w:name w:val="expanded-title"/>
    <w:basedOn w:val="a0"/>
    <w:rsid w:val="00D45CEA"/>
  </w:style>
  <w:style w:type="character" w:styleId="a5">
    <w:name w:val="Hyperlink"/>
    <w:basedOn w:val="a0"/>
    <w:uiPriority w:val="99"/>
    <w:semiHidden/>
    <w:unhideWhenUsed/>
    <w:rsid w:val="00D45C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5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5C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CEA"/>
    <w:rPr>
      <w:b/>
      <w:bCs/>
    </w:rPr>
  </w:style>
  <w:style w:type="character" w:customStyle="1" w:styleId="expanded-title">
    <w:name w:val="expanded-title"/>
    <w:basedOn w:val="a0"/>
    <w:rsid w:val="00D45CEA"/>
  </w:style>
  <w:style w:type="character" w:styleId="a5">
    <w:name w:val="Hyperlink"/>
    <w:basedOn w:val="a0"/>
    <w:uiPriority w:val="99"/>
    <w:semiHidden/>
    <w:unhideWhenUsed/>
    <w:rsid w:val="00D4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7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9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50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5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2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7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0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3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3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009846"/>
            <w:bottom w:val="none" w:sz="0" w:space="0" w:color="auto"/>
            <w:right w:val="none" w:sz="0" w:space="0" w:color="auto"/>
          </w:divBdr>
        </w:div>
        <w:div w:id="40056285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758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008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009846"/>
            <w:bottom w:val="none" w:sz="0" w:space="0" w:color="auto"/>
            <w:right w:val="none" w:sz="0" w:space="0" w:color="auto"/>
          </w:divBdr>
        </w:div>
        <w:div w:id="95263494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379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61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009846"/>
            <w:bottom w:val="none" w:sz="0" w:space="0" w:color="auto"/>
            <w:right w:val="none" w:sz="0" w:space="0" w:color="auto"/>
          </w:divBdr>
        </w:div>
      </w:divsChild>
    </w:div>
    <w:div w:id="1799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x.uz/ru/docs/28763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2025-01-19T14:49:00Z</dcterms:created>
  <dcterms:modified xsi:type="dcterms:W3CDTF">2025-01-19T14:54:00Z</dcterms:modified>
</cp:coreProperties>
</file>