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40" w:rsidRPr="00B10640" w:rsidRDefault="00B10640" w:rsidP="00B10640">
      <w:pPr>
        <w:shd w:val="clear" w:color="auto" w:fill="EDF0F4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режими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</w:p>
    <w:p w:rsidR="007B64E9" w:rsidRDefault="00B10640">
      <w:pPr>
        <w:rPr>
          <w:rFonts w:ascii="Arial" w:hAnsi="Arial" w:cs="Arial"/>
          <w:color w:val="212529"/>
          <w:sz w:val="26"/>
          <w:szCs w:val="26"/>
          <w:shd w:val="clear" w:color="auto" w:fill="EEEEEE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“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Божхона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ҳудудида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қайта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ишлаш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божхона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режими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қўлланилишини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соддалаштиришга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оид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қўшимча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чора-тадбирлар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тўғрисида</w:t>
      </w:r>
      <w:proofErr w:type="gram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”г</w:t>
      </w:r>
      <w:proofErr w:type="gram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и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 xml:space="preserve"> Президент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фармони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EEEEEE"/>
        </w:rPr>
        <w:t> </w:t>
      </w:r>
      <w:r>
        <w:rPr>
          <w:rStyle w:val="a3"/>
          <w:rFonts w:ascii="Arial" w:hAnsi="Arial" w:cs="Arial"/>
          <w:color w:val="212529"/>
          <w:sz w:val="26"/>
          <w:szCs w:val="26"/>
          <w:shd w:val="clear" w:color="auto" w:fill="EEEEEE"/>
        </w:rPr>
        <w:t>(</w:t>
      </w:r>
      <w:hyperlink r:id="rId6" w:tgtFrame="_blank" w:history="1">
        <w:r>
          <w:rPr>
            <w:rStyle w:val="a4"/>
            <w:rFonts w:ascii="Arial" w:hAnsi="Arial" w:cs="Arial"/>
            <w:i/>
            <w:iCs/>
            <w:color w:val="007BFF"/>
            <w:sz w:val="26"/>
            <w:szCs w:val="26"/>
          </w:rPr>
          <w:t>ПФ–115-сон</w:t>
        </w:r>
      </w:hyperlink>
      <w:r>
        <w:rPr>
          <w:rStyle w:val="a3"/>
          <w:rFonts w:ascii="Arial" w:hAnsi="Arial" w:cs="Arial"/>
          <w:color w:val="212529"/>
          <w:sz w:val="26"/>
          <w:szCs w:val="26"/>
          <w:shd w:val="clear" w:color="auto" w:fill="EEEEEE"/>
        </w:rPr>
        <w:t>, 25.04.2022 й.) </w:t>
      </w:r>
    </w:p>
    <w:p w:rsidR="00B10640" w:rsidRDefault="00B10640">
      <w:pPr>
        <w:rPr>
          <w:rFonts w:ascii="Arial" w:hAnsi="Arial" w:cs="Arial"/>
          <w:color w:val="212529"/>
          <w:sz w:val="26"/>
          <w:szCs w:val="26"/>
          <w:shd w:val="clear" w:color="auto" w:fill="EEEEEE"/>
        </w:rPr>
      </w:pPr>
    </w:p>
    <w:p w:rsidR="00B10640" w:rsidRPr="00B10640" w:rsidRDefault="00B10640" w:rsidP="00B1064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Фармонга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кўра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</w:t>
      </w:r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 2022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йил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1 майдан</w:t>
      </w:r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қўллашнинг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соддалаштирилган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тартиби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жорий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этилади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 Бунда:</w:t>
      </w:r>
    </w:p>
    <w:p w:rsidR="00B10640" w:rsidRPr="00B10640" w:rsidRDefault="00B10640" w:rsidP="00B1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қадоқлаш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ўраш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(шу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жумладан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ўраш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)</w:t>
      </w:r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саралаш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тозалаш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proofErr w:type="gram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мослаштириш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ускуналарни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модернизация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операциялари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ҳисобланади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B10640" w:rsidRPr="00B10640" w:rsidRDefault="00B10640" w:rsidP="00B1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жойлаштиришда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товарларнинг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техник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жиҳатдан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тартибга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солиш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соҳасидаги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норматив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талабларига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мувофиқлигини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мажбурий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тасдиқлаш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санитария-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эпидемиологик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хулосани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тақдим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этиш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талаб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этилмайди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;</w:t>
      </w:r>
    </w:p>
    <w:p w:rsidR="00B10640" w:rsidRPr="00B10640" w:rsidRDefault="00B10640" w:rsidP="00B1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маҳсулотларининг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нормалари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ишловчи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субъект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томонидан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тасдиқланади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тақдим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этилади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B10640" w:rsidRPr="00B10640" w:rsidRDefault="00B10640" w:rsidP="00B1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айнан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бир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хил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турдаги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2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йилдан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кў</w:t>
      </w:r>
      <w:proofErr w:type="gram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п</w:t>
      </w:r>
      <w:proofErr w:type="spellEnd"/>
      <w:proofErr w:type="gram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бўлмаган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муддатга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умумий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рухсатнома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берилади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B10640" w:rsidRPr="00B10640" w:rsidRDefault="00B10640" w:rsidP="00B1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махсус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иқтисодий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зона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иштирокчилари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ваколатли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иқтисодий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операторлар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тўловлари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тўланишини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таъминлаш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тартиби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қўлланилмайди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;</w:t>
      </w:r>
    </w:p>
    <w:p w:rsidR="00B10640" w:rsidRPr="00B10640" w:rsidRDefault="00B10640" w:rsidP="00B1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жараёнида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ҳосил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бўладиган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чиқиндиларни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“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эркин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муомалага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чиқариш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”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расмийлаштиришда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ундирилмайди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B10640" w:rsidRPr="00B10640" w:rsidRDefault="00B10640" w:rsidP="00B10640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Товарлар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экспорти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учун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йиғимлари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ставкалари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имтиёзлар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преференциялар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экспортни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қўлла</w:t>
      </w:r>
      <w:proofErr w:type="gram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б-</w:t>
      </w:r>
      <w:proofErr w:type="gram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қувватлаш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бошқа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чоралар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“реэкспорт”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чиқиладиган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маҳсулотларига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татбиқ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этилади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B10640" w:rsidRPr="00B10640" w:rsidRDefault="00B10640" w:rsidP="00B1064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қўллашнинг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</w:t>
      </w:r>
      <w:proofErr w:type="gram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сади</w:t>
      </w:r>
      <w:proofErr w:type="spellEnd"/>
      <w:proofErr w:type="gram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товарларни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таъмирлаш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бўлса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рухсатнома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талаб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этилмайди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B10640" w:rsidRPr="00B10640" w:rsidRDefault="00B10640" w:rsidP="00B10640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рухсатнома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</w:t>
      </w:r>
      <w:proofErr w:type="gram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қтисодий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фаолият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иштирокчиси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кейинчалик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бошқа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шахсга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(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агар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ушбу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шахс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мазкур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рухсатнома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бўйича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барча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мажбуриятларни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ўз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зиммасига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олса</w:t>
      </w:r>
      <w:proofErr w:type="spellEnd"/>
      <w:r w:rsidRPr="00B10640">
        <w:rPr>
          <w:rFonts w:ascii="Arial" w:eastAsia="Times New Roman" w:hAnsi="Arial" w:cs="Arial"/>
          <w:i/>
          <w:iCs/>
          <w:color w:val="212529"/>
          <w:sz w:val="26"/>
          <w:szCs w:val="26"/>
          <w:lang w:eastAsia="ru-RU"/>
        </w:rPr>
        <w:t>)</w:t>
      </w:r>
      <w:r w:rsidRPr="00B10640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ўтказилиши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мумкин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B10640" w:rsidRPr="00B10640" w:rsidRDefault="00B10640" w:rsidP="00B1064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lastRenderedPageBreak/>
        <w:t>Фармонга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кўра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қўмитасида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ҳудудида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/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ташқарисида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қайта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ишлаш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режимини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такомиллаштириш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бўйича</w:t>
      </w:r>
      <w:proofErr w:type="spellEnd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бошқарма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ташкил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этилди</w:t>
      </w:r>
      <w:proofErr w:type="spellEnd"/>
      <w:r w:rsidRPr="00B10640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B10640" w:rsidRDefault="00B10640"/>
    <w:sectPr w:rsidR="00B1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699"/>
    <w:multiLevelType w:val="multilevel"/>
    <w:tmpl w:val="F49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40"/>
    <w:rsid w:val="007B64E9"/>
    <w:rsid w:val="00B1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0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0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10640"/>
    <w:rPr>
      <w:i/>
      <w:iCs/>
    </w:rPr>
  </w:style>
  <w:style w:type="character" w:styleId="a4">
    <w:name w:val="Hyperlink"/>
    <w:basedOn w:val="a0"/>
    <w:uiPriority w:val="99"/>
    <w:semiHidden/>
    <w:unhideWhenUsed/>
    <w:rsid w:val="00B106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0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0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0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10640"/>
    <w:rPr>
      <w:i/>
      <w:iCs/>
    </w:rPr>
  </w:style>
  <w:style w:type="character" w:styleId="a4">
    <w:name w:val="Hyperlink"/>
    <w:basedOn w:val="a0"/>
    <w:uiPriority w:val="99"/>
    <w:semiHidden/>
    <w:unhideWhenUsed/>
    <w:rsid w:val="00B1064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0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1256673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uz/ru/docs/59802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2024-11-22T05:31:00Z</dcterms:created>
  <dcterms:modified xsi:type="dcterms:W3CDTF">2024-11-22T05:33:00Z</dcterms:modified>
</cp:coreProperties>
</file>