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FD" w:rsidRPr="008200FD" w:rsidRDefault="008200FD" w:rsidP="008200FD">
      <w:pPr>
        <w:pStyle w:val="3"/>
        <w:shd w:val="clear" w:color="auto" w:fill="EDF0F4"/>
        <w:jc w:val="center"/>
        <w:rPr>
          <w:rFonts w:ascii="Arial" w:hAnsi="Arial" w:cs="Arial"/>
          <w:color w:val="212529"/>
          <w:lang w:val="uz-Cyrl-UZ"/>
        </w:rPr>
      </w:pPr>
      <w:bookmarkStart w:id="0" w:name="_GoBack"/>
      <w:bookmarkEnd w:id="0"/>
      <w:r w:rsidRPr="008200FD">
        <w:rPr>
          <w:rFonts w:ascii="Arial" w:hAnsi="Arial" w:cs="Arial"/>
          <w:color w:val="212529"/>
          <w:lang w:val="uz-Cyrl-UZ"/>
        </w:rPr>
        <w:t>Божхона муносабатлари</w:t>
      </w:r>
    </w:p>
    <w:p w:rsidR="008200FD" w:rsidRPr="008200FD" w:rsidRDefault="008200FD" w:rsidP="008200FD">
      <w:pPr>
        <w:pStyle w:val="a5"/>
        <w:spacing w:before="0" w:beforeAutospacing="0"/>
        <w:jc w:val="both"/>
        <w:rPr>
          <w:rFonts w:ascii="Arial" w:hAnsi="Arial" w:cs="Arial"/>
          <w:color w:val="212529"/>
          <w:sz w:val="26"/>
          <w:szCs w:val="26"/>
          <w:lang w:val="uz-Cyrl-UZ"/>
        </w:rPr>
      </w:pPr>
      <w:r w:rsidRPr="008200FD">
        <w:rPr>
          <w:rFonts w:ascii="Arial" w:hAnsi="Arial" w:cs="Arial"/>
          <w:color w:val="212529"/>
          <w:sz w:val="26"/>
          <w:szCs w:val="26"/>
          <w:lang w:val="uz-Cyrl-UZ"/>
        </w:rPr>
        <w:t>Ўзбекистон Республикасининг қуруқликдаги ҳудуди, ҳудудий ва ички сувлари ҳамда улар устидаги ҳаво ҳудуди Ўзбекистон Республикасининг </w:t>
      </w:r>
      <w:r w:rsidRPr="008200FD">
        <w:rPr>
          <w:rStyle w:val="a3"/>
          <w:rFonts w:ascii="Arial" w:hAnsi="Arial" w:cs="Arial"/>
          <w:color w:val="212529"/>
          <w:sz w:val="26"/>
          <w:szCs w:val="26"/>
          <w:lang w:val="uz-Cyrl-UZ"/>
        </w:rPr>
        <w:t>божхона ҳудудини ташкил этади.</w:t>
      </w:r>
    </w:p>
    <w:p w:rsidR="008200FD" w:rsidRPr="008200FD" w:rsidRDefault="008200FD" w:rsidP="008200FD">
      <w:pPr>
        <w:pStyle w:val="a5"/>
        <w:spacing w:before="0" w:beforeAutospacing="0"/>
        <w:jc w:val="both"/>
        <w:rPr>
          <w:rFonts w:ascii="Arial" w:hAnsi="Arial" w:cs="Arial"/>
          <w:color w:val="212529"/>
          <w:sz w:val="26"/>
          <w:szCs w:val="26"/>
          <w:lang w:val="uz-Cyrl-UZ"/>
        </w:rPr>
      </w:pPr>
      <w:r w:rsidRPr="008200FD">
        <w:rPr>
          <w:rFonts w:ascii="Arial" w:hAnsi="Arial" w:cs="Arial"/>
          <w:color w:val="212529"/>
          <w:sz w:val="26"/>
          <w:szCs w:val="26"/>
          <w:lang w:val="uz-Cyrl-UZ"/>
        </w:rPr>
        <w:t>Ўзбекистон Республикаси ҳудудида эркин </w:t>
      </w:r>
      <w:r w:rsidRPr="008200FD">
        <w:rPr>
          <w:rStyle w:val="a3"/>
          <w:rFonts w:ascii="Arial" w:hAnsi="Arial" w:cs="Arial"/>
          <w:color w:val="212529"/>
          <w:sz w:val="26"/>
          <w:szCs w:val="26"/>
          <w:lang w:val="uz-Cyrl-UZ"/>
        </w:rPr>
        <w:t>божхона зоналари ва эркин омборлар бўлиши мумкин</w:t>
      </w:r>
      <w:r w:rsidRPr="008200FD">
        <w:rPr>
          <w:rFonts w:ascii="Arial" w:hAnsi="Arial" w:cs="Arial"/>
          <w:color w:val="212529"/>
          <w:sz w:val="26"/>
          <w:szCs w:val="26"/>
          <w:lang w:val="uz-Cyrl-UZ"/>
        </w:rPr>
        <w:t>, уларнинг ҳудудлари, агар қонун ҳужжатларида бошқача қоида назарда тутилмаган бўлса, божхона ҳудудидан ташқарида жойлашган деб қаралади.</w:t>
      </w:r>
    </w:p>
    <w:p w:rsidR="008200FD" w:rsidRPr="008200FD" w:rsidRDefault="008200FD" w:rsidP="008200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</w:pPr>
      <w:r w:rsidRPr="008200FD"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  <w:t>Божхона ҳудуди сарҳадлари, шунингдек эркин божхона зоналарининг ва эркин омборларнинг тегралари Ўзбекистон Республикасининг </w:t>
      </w:r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val="uz-Cyrl-UZ" w:eastAsia="ru-RU"/>
        </w:rPr>
        <w:t>божхона чегараси ҳисобланади.</w:t>
      </w:r>
    </w:p>
    <w:p w:rsidR="008200FD" w:rsidRPr="008200FD" w:rsidRDefault="008200FD" w:rsidP="008200F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мақсадлари</w:t>
      </w:r>
      <w:proofErr w:type="spellEnd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қуйидагилардан</w:t>
      </w:r>
      <w:proofErr w:type="spellEnd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иборат</w:t>
      </w:r>
      <w:proofErr w:type="spellEnd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8200FD" w:rsidRPr="008200FD" w:rsidRDefault="008200FD" w:rsidP="008200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товарлар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воситаларини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ўтиш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,</w:t>
      </w:r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сақлаш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тўғрисидаги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қонун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риоя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этилишини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таъминлаш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тўловлари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вақтида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</w:t>
      </w:r>
      <w:proofErr w:type="gram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ўғри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тўланишини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таъминлаш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иқтисодий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сиёсат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чораларига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режимларининг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талаблари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шартларига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риоя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этилишини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таъминлаш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тўғрисидаги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қонун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бузиш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ҳолларига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чек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қўйиш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уларнинг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олдини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олиш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.</w:t>
      </w:r>
    </w:p>
    <w:p w:rsidR="008200FD" w:rsidRPr="008200FD" w:rsidRDefault="008200FD" w:rsidP="008200F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200FD" w:rsidRPr="008200FD" w:rsidRDefault="008200FD" w:rsidP="008200F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муносабатларида</w:t>
      </w:r>
      <w:proofErr w:type="spellEnd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қўлланиладиган</w:t>
      </w:r>
      <w:proofErr w:type="spellEnd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тушунчалар</w:t>
      </w:r>
      <w:proofErr w:type="spellEnd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брокери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расмийлаштируви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операцияларни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декларантнинг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ваколатли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топшириғига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биноан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номидан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шартнома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асосида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оширадиган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юридик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иши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иқтисодий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тартибга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солиш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ҳуқ</w:t>
      </w:r>
      <w:proofErr w:type="gram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</w:t>
      </w:r>
      <w:proofErr w:type="gram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муҳофаза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мақсадларига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эришишга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қаратилган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тўғрисидаги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қонун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риоя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этилишини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таъминлайдиган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усуллар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мажмуи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ҳамроҳлигида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кузатиб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бориш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автотранспорт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назорати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остида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кузатиб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борилиши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операцияси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расмийлаштирувида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нисбатан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органларининг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мансабдор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ваколатли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ошириладиган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ҳаракат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режими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ўтиладиган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мақомини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мақсадлари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белгиловчи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қоидалар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мажмуи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lastRenderedPageBreak/>
        <w:t>божхона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тартиб-таомили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мақсадлари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ошириладиган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операцияларининг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мажмуи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декларант</w:t>
      </w:r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номидан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декларацияловчи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ёхуд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номидан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декларацияланаётган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декларациялаш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ўтилаётган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назорати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остида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турган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тўғрисидаги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зарур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маълумотларни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органларига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маълум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иқтисодий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сиёсат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чоралари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киришга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ушбу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ҳудуддан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чиқишга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доир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чекловлар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улар квота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белгилашни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лицензиялашни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шунингдек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мамлакат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иқтисодиётининг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жаҳон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хўжалиги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билан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ўзаро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ҳамкорлигини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тартибга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солишнинг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</w:t>
      </w:r>
      <w:proofErr w:type="gram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чора-тадбирларини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ичига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олади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ташувчи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назорати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остида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турган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ташилишини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оширувчи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воситасидан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фойдаланиш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масъул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товар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туркуми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битта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олувчининг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манзилига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битта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келаётган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битта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почта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юк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хати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билан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жўнатилаётган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ёхуд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ўтаётган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битта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жисмоний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қўл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юкида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багажида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ўтилаётган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товар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қисми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товарларни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(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воситаларини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чегараси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орқали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ўтиш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ёхуд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ушбу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ҳудуддан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товарларнинг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эркин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муомаласи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белгиланган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тақиқ</w:t>
      </w:r>
      <w:proofErr w:type="gram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лар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proofErr w:type="gram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чекловларсиз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айланиши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товарни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чиқариб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юбориш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органларининг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расмийлаштирувини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якунловчи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маълум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қилинган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шартларидан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келиб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чиққан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ҳолда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товарлардан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фойдаланишга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тасарруф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этишга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рухсат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берилганлигини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ифодаловчи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ҳаракати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юк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операциялари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назорати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остида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турган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юклаш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тушириш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юклаш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бузилган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ўровларини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тўғрилаш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ўраш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ўраш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қабул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8200FD" w:rsidRPr="008200FD" w:rsidRDefault="008200FD" w:rsidP="008200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Давлат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қўмитасининг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ягона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автоматлаштирилган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ахборот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тизими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—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ўтиладиган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назоратини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доир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маълумотларнинг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киритилишини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ҳисобга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олинишини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мониторинг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қилинишини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назарда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тутувчи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қўмитасининг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автоматлаштирилган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тизими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8200FD" w:rsidRPr="008200FD" w:rsidRDefault="008200FD" w:rsidP="008200F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Товарнинг</w:t>
      </w:r>
      <w:proofErr w:type="spellEnd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кузатув</w:t>
      </w:r>
      <w:proofErr w:type="spellEnd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ҳужжатлари</w:t>
      </w:r>
      <w:proofErr w:type="spellEnd"/>
    </w:p>
    <w:p w:rsidR="008200FD" w:rsidRPr="008200FD" w:rsidRDefault="008200FD" w:rsidP="008200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lastRenderedPageBreak/>
        <w:t>Тижорат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ҳужжатлари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кузатув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ҳисобланади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8200FD" w:rsidRPr="008200FD" w:rsidRDefault="008200FD" w:rsidP="008200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Тижорат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жумласига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ҳисобвара</w:t>
      </w:r>
      <w:proofErr w:type="gram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-</w:t>
      </w:r>
      <w:proofErr w:type="gram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фактура (инвойс),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юклаб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жўнатиш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ўров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варақлари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ташқи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савдо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фаолияти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фаолият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оширилаётганда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ўтиш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билан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боғлиқ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битимлар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тузилганлигини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тасдиқлаш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учун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фойдаланиладиган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бошқа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киради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8200FD" w:rsidRPr="008200FD" w:rsidRDefault="008200FD" w:rsidP="008200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жумласига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коносамент, 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юк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хати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товарларни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ташиш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шартномаси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борлигини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тасдиқловчи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шундай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ташишда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кузатиб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борувчи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</w:t>
      </w:r>
      <w:proofErr w:type="gram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киради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8200FD" w:rsidRPr="008200FD" w:rsidRDefault="008200FD" w:rsidP="008200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чегараси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орқали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олиб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ўтиладиган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ҳар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қандай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кўчар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мол-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мулк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шу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жумладан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миллий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валютаси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валюта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бойликлари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</w:t>
      </w:r>
      <w:proofErr w:type="gram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қимматли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қоғозлар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электр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иссиқлик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энергияси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энергиянинг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бошқа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турлари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интеллектуал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мулк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объектлари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транспорт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воситаси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товар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ҳисобланади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8200FD" w:rsidRPr="008200FD" w:rsidRDefault="008200FD" w:rsidP="008200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ишлаб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чиқарилган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товар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ёхуд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эркин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муомалага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чиқарилган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ёки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шундай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мақомга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эга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бўлган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товар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товаридир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8200FD" w:rsidRPr="008200FD" w:rsidRDefault="008200FD" w:rsidP="008200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Ушбу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модданинг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иккинчи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қисмида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кўрсатилмаган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товар,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шунингдек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ушбу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Кодексга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мувофиқ</w:t>
      </w:r>
      <w:proofErr w:type="spellEnd"/>
      <w:r w:rsidRPr="008200F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чет эл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товари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мақомини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олган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товар чет эл </w:t>
      </w:r>
      <w:proofErr w:type="spellStart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товаридир</w:t>
      </w:r>
      <w:proofErr w:type="spellEnd"/>
      <w:r w:rsidRPr="008200F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.</w:t>
      </w:r>
    </w:p>
    <w:p w:rsidR="008200FD" w:rsidRPr="008200FD" w:rsidRDefault="008200FD" w:rsidP="008200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703EE4" w:rsidRPr="008200FD" w:rsidRDefault="00703EE4">
      <w:pPr>
        <w:rPr>
          <w:lang w:val="uz-Cyrl-UZ"/>
        </w:rPr>
      </w:pPr>
    </w:p>
    <w:sectPr w:rsidR="00703EE4" w:rsidRPr="0082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32EF"/>
    <w:multiLevelType w:val="multilevel"/>
    <w:tmpl w:val="6BD8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F15A5"/>
    <w:multiLevelType w:val="multilevel"/>
    <w:tmpl w:val="2D72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643DC"/>
    <w:multiLevelType w:val="multilevel"/>
    <w:tmpl w:val="41DA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87173"/>
    <w:multiLevelType w:val="multilevel"/>
    <w:tmpl w:val="34AA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579C5"/>
    <w:multiLevelType w:val="multilevel"/>
    <w:tmpl w:val="A988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531FD"/>
    <w:multiLevelType w:val="multilevel"/>
    <w:tmpl w:val="DF56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A6C2B"/>
    <w:multiLevelType w:val="multilevel"/>
    <w:tmpl w:val="105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55739"/>
    <w:multiLevelType w:val="multilevel"/>
    <w:tmpl w:val="C094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07FC4"/>
    <w:multiLevelType w:val="multilevel"/>
    <w:tmpl w:val="B94E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FD"/>
    <w:rsid w:val="00703EE4"/>
    <w:rsid w:val="008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200FD"/>
    <w:rPr>
      <w:b/>
      <w:bCs/>
    </w:rPr>
  </w:style>
  <w:style w:type="character" w:styleId="a4">
    <w:name w:val="Hyperlink"/>
    <w:basedOn w:val="a0"/>
    <w:uiPriority w:val="99"/>
    <w:semiHidden/>
    <w:unhideWhenUsed/>
    <w:rsid w:val="008200FD"/>
    <w:rPr>
      <w:color w:val="0000FF"/>
      <w:u w:val="single"/>
    </w:rPr>
  </w:style>
  <w:style w:type="character" w:customStyle="1" w:styleId="clauseprfx">
    <w:name w:val="clauseprfx"/>
    <w:basedOn w:val="a0"/>
    <w:rsid w:val="008200FD"/>
  </w:style>
  <w:style w:type="character" w:customStyle="1" w:styleId="clausesuff">
    <w:name w:val="clausesuff"/>
    <w:basedOn w:val="a0"/>
    <w:rsid w:val="008200FD"/>
  </w:style>
  <w:style w:type="paragraph" w:styleId="a5">
    <w:name w:val="Normal (Web)"/>
    <w:basedOn w:val="a"/>
    <w:uiPriority w:val="99"/>
    <w:semiHidden/>
    <w:unhideWhenUsed/>
    <w:rsid w:val="0082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anded-title">
    <w:name w:val="expanded-title"/>
    <w:basedOn w:val="a0"/>
    <w:rsid w:val="00820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200FD"/>
    <w:rPr>
      <w:b/>
      <w:bCs/>
    </w:rPr>
  </w:style>
  <w:style w:type="character" w:styleId="a4">
    <w:name w:val="Hyperlink"/>
    <w:basedOn w:val="a0"/>
    <w:uiPriority w:val="99"/>
    <w:semiHidden/>
    <w:unhideWhenUsed/>
    <w:rsid w:val="008200FD"/>
    <w:rPr>
      <w:color w:val="0000FF"/>
      <w:u w:val="single"/>
    </w:rPr>
  </w:style>
  <w:style w:type="character" w:customStyle="1" w:styleId="clauseprfx">
    <w:name w:val="clauseprfx"/>
    <w:basedOn w:val="a0"/>
    <w:rsid w:val="008200FD"/>
  </w:style>
  <w:style w:type="character" w:customStyle="1" w:styleId="clausesuff">
    <w:name w:val="clausesuff"/>
    <w:basedOn w:val="a0"/>
    <w:rsid w:val="008200FD"/>
  </w:style>
  <w:style w:type="paragraph" w:styleId="a5">
    <w:name w:val="Normal (Web)"/>
    <w:basedOn w:val="a"/>
    <w:uiPriority w:val="99"/>
    <w:semiHidden/>
    <w:unhideWhenUsed/>
    <w:rsid w:val="0082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anded-title">
    <w:name w:val="expanded-title"/>
    <w:basedOn w:val="a0"/>
    <w:rsid w:val="0082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203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80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8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05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52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8735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42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752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17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2025-01-19T12:37:00Z</dcterms:created>
  <dcterms:modified xsi:type="dcterms:W3CDTF">2025-01-19T12:44:00Z</dcterms:modified>
</cp:coreProperties>
</file>